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33" w:rsidRDefault="00E8251C" w:rsidP="00490F3C">
      <w:pPr>
        <w:pStyle w:val="KonuBal"/>
        <w:tabs>
          <w:tab w:val="left" w:pos="6263"/>
          <w:tab w:val="left" w:pos="8779"/>
        </w:tabs>
        <w:ind w:firstLine="4068"/>
      </w:pPr>
      <w:bookmarkStart w:id="0" w:name="_GoBack"/>
      <w:r>
        <w:rPr>
          <w:b w:val="0"/>
          <w:i w:val="0"/>
          <w:noProof/>
          <w:sz w:val="20"/>
          <w:szCs w:val="20"/>
        </w:rPr>
        <w:drawing>
          <wp:inline distT="0" distB="0" distL="0" distR="0">
            <wp:extent cx="925830" cy="525780"/>
            <wp:effectExtent l="0" t="0" r="7620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41" cy="525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B1D33" w:rsidRDefault="002B1D33">
      <w:pPr>
        <w:spacing w:before="1" w:after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"/>
        <w:tblW w:w="15452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61"/>
        <w:gridCol w:w="1661"/>
        <w:gridCol w:w="1661"/>
        <w:gridCol w:w="1661"/>
        <w:gridCol w:w="1661"/>
        <w:gridCol w:w="1661"/>
        <w:gridCol w:w="1661"/>
        <w:gridCol w:w="1661"/>
        <w:gridCol w:w="1661"/>
      </w:tblGrid>
      <w:tr w:rsidR="002B1D33">
        <w:trPr>
          <w:trHeight w:val="593"/>
        </w:trPr>
        <w:tc>
          <w:tcPr>
            <w:tcW w:w="15453" w:type="dxa"/>
            <w:gridSpan w:val="10"/>
            <w:shd w:val="clear" w:color="auto" w:fill="CC00CC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609" w:right="4584"/>
              <w:jc w:val="center"/>
              <w:rPr>
                <w:rFonts w:ascii="Caladea" w:eastAsia="Caladea" w:hAnsi="Caladea" w:cs="Caladea"/>
                <w:b/>
                <w:color w:val="000000"/>
              </w:rPr>
            </w:pPr>
            <w:r>
              <w:rPr>
                <w:rFonts w:ascii="Caladea" w:eastAsia="Caladea" w:hAnsi="Caladea" w:cs="Caladea"/>
                <w:b/>
              </w:rPr>
              <w:t>ORHANELİ HACI MUSTAFA ÖDEN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KIZ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ANADOLU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İMAM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HATİP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LİSESİ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HEDEF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YKS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EYLEM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adea" w:eastAsia="Caladea" w:hAnsi="Caladea" w:cs="Caladea"/>
                <w:b/>
                <w:color w:val="000000"/>
              </w:rPr>
              <w:t>PLANI</w:t>
            </w:r>
          </w:p>
        </w:tc>
      </w:tr>
      <w:tr w:rsidR="002B1D33">
        <w:trPr>
          <w:trHeight w:val="437"/>
        </w:trPr>
        <w:tc>
          <w:tcPr>
            <w:tcW w:w="504" w:type="dxa"/>
            <w:shd w:val="clear" w:color="auto" w:fill="CC00CC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41"/>
              <w:jc w:val="center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S.N.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79" w:right="37"/>
              <w:jc w:val="center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EKİM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70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KASIM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48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ARALIK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78" w:right="37"/>
              <w:jc w:val="center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OCAK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67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ŞUBAT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74" w:right="37"/>
              <w:jc w:val="center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MART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79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NİSAN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71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MAYIS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470"/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9"/>
                <w:szCs w:val="19"/>
              </w:rPr>
              <w:t>HAZİRAN</w:t>
            </w:r>
          </w:p>
        </w:tc>
      </w:tr>
      <w:tr w:rsidR="002B1D33">
        <w:trPr>
          <w:trHeight w:val="965"/>
        </w:trPr>
        <w:tc>
          <w:tcPr>
            <w:tcW w:w="504" w:type="dxa"/>
            <w:shd w:val="clear" w:color="auto" w:fill="CC00CC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270" w:firstLine="184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Hedef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Koordinatörünün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Girilmesi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85" w:right="54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Koçluk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Öğretmenlerin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Toplantısının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9" w:right="18" w:hanging="420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Yök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Atlas'In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Tanıtılması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428" w:hanging="173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Dönem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Kamp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Programının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Planlanması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69" w:right="37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Türkiye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Geneli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İzleme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69" w:right="37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Türkiye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Geneli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İzleme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9" w:right="82" w:hanging="44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11.Sınıflann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Kamp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Planlarının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" w:right="42" w:firstLine="2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Geçmiş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Yıllarda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Sınavların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Uygulanması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7" w:right="166" w:hanging="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Sosyal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Medya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Araçlarında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Bilgilendirmelerinin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</w:tr>
      <w:tr w:rsidR="002B1D33">
        <w:trPr>
          <w:trHeight w:val="965"/>
        </w:trPr>
        <w:tc>
          <w:tcPr>
            <w:tcW w:w="504" w:type="dxa"/>
            <w:shd w:val="clear" w:color="auto" w:fill="CC00CC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1" w:right="37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Kurslarının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İş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İşlemlerinin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Tamamlanması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42" w:right="1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Takviminin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Hazırlanması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85" w:right="54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Koçluk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Öğretmenlerin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Toplantısının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47" w:right="16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Deneme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Analiz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60" w:right="128" w:hanging="92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Kamp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Değerlendirilmesi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188" w:right="158" w:hanging="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Kaygısı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İçin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Seminer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Düzenlenmesi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84" w:right="55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Koçluk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Öğretmenlerin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Toplantısının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36" w:right="5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Kaygısı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Yaşayan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İçin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36" w:right="5" w:firstLine="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Kaygısı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Yaşayan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İçin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</w:tr>
      <w:tr w:rsidR="002B1D33">
        <w:trPr>
          <w:trHeight w:val="1165"/>
        </w:trPr>
        <w:tc>
          <w:tcPr>
            <w:tcW w:w="504" w:type="dxa"/>
            <w:shd w:val="clear" w:color="auto" w:fill="CC00CC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59" w:lineRule="auto"/>
              <w:ind w:left="28" w:right="-15" w:firstLine="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Akademik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Takip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Komisyonunun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Kurulması,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Lise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Yıllık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Eylem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Planının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59" w:lineRule="auto"/>
              <w:ind w:left="33" w:right="1" w:firstLine="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Meb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Örnek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Sorulannın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Çözdürülmesi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Velilerin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Bilgilendirilmesi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59" w:lineRule="auto"/>
              <w:ind w:left="71" w:right="37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Servisi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Tarafından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Devamsızlıklarının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Takibinin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260" w:right="3" w:hanging="221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Dönem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Değerlendirilmesi</w:t>
            </w:r>
          </w:p>
        </w:tc>
        <w:tc>
          <w:tcPr>
            <w:tcW w:w="1661" w:type="dxa"/>
            <w:shd w:val="clear" w:color="auto" w:fill="FCD5B4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478" w:hanging="425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Sınıflara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Yök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Atlas'In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Tanıtılması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Motivasyon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İhtiyacı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Olan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9" w:right="40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Kaygısı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Yaşayan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Değerlendirilmesi</w:t>
            </w:r>
          </w:p>
        </w:tc>
        <w:tc>
          <w:tcPr>
            <w:tcW w:w="1661" w:type="dxa"/>
            <w:shd w:val="clear" w:color="auto" w:fill="FCD5B4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0" w:right="89" w:firstLine="28"/>
              <w:jc w:val="both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Geçmiş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Yıllar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Kavram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Bazlı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Çıkmış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Sorular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Kitapçığı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Hazırlanması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" w:right="10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YKS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İçin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Hazırlıkların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Kapsamlı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Bir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Şekilde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</w:tr>
      <w:tr w:rsidR="002B1D33">
        <w:trPr>
          <w:trHeight w:val="766"/>
        </w:trPr>
        <w:tc>
          <w:tcPr>
            <w:tcW w:w="504" w:type="dxa"/>
            <w:shd w:val="clear" w:color="auto" w:fill="CC00CC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left="42" w:right="10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Takviminin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Hazırlanması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59" w:lineRule="auto"/>
              <w:ind w:left="268" w:right="235" w:firstLine="26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Üniversite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Gezisi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Yapılması-</w:t>
            </w:r>
            <w:r>
              <w:rPr>
                <w:rFonts w:ascii="Carlito" w:eastAsia="Carlito" w:hAnsi="Carlito" w:cs="Carlito"/>
                <w:sz w:val="16"/>
                <w:szCs w:val="16"/>
              </w:rPr>
              <w:t>Bursa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left="35" w:right="2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Uygulanması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left="34" w:right="2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Uygulanması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59" w:lineRule="auto"/>
              <w:ind w:left="183" w:hanging="116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Motivasyon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Konusunda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Broşür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Hazırlanması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left="34" w:right="2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Uygulanması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left="34" w:right="3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Uygulanması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left="34" w:right="3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Uygulanması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left="69" w:right="39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Öncesi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Anı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Yapılabileceklerin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Sunumu</w:t>
            </w:r>
          </w:p>
        </w:tc>
      </w:tr>
      <w:tr w:rsidR="002B1D33">
        <w:trPr>
          <w:trHeight w:val="965"/>
        </w:trPr>
        <w:tc>
          <w:tcPr>
            <w:tcW w:w="504" w:type="dxa"/>
            <w:shd w:val="clear" w:color="auto" w:fill="CC00CC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83" w:right="49" w:firstLine="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YKS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Hazırlık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Sosyal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Medya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Duyurulması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70" w:right="37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Servisi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İşbirliğinde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Ders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Planı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69" w:right="38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YKS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Öğretmenleri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Toplantısı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2" w:hanging="418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Mezun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Buluşmalarının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3" w:hanging="28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Kariyer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Günleri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Düzenlenmesi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34" w:right="5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Şube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Müdürü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Zümre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Bazlı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Toplantılar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7" w:hanging="380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Koordinatörle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İletişim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Kurulması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2" w:hanging="28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Kariyer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Günleri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Düzenlenmesi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401" w:hanging="279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Sınıflara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YKS-2025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Bilgilendirme</w:t>
            </w: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</w:tr>
      <w:tr w:rsidR="002B1D33">
        <w:trPr>
          <w:trHeight w:val="766"/>
        </w:trPr>
        <w:tc>
          <w:tcPr>
            <w:tcW w:w="504" w:type="dxa"/>
            <w:shd w:val="clear" w:color="auto" w:fill="CC00CC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1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59" w:lineRule="auto"/>
              <w:ind w:left="496" w:right="1" w:hanging="464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YKS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Tanıtımı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Yapılması-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left="138" w:right="13" w:hanging="87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Sınıflara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Sınavı</w:t>
            </w: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59" w:lineRule="auto"/>
              <w:ind w:left="85" w:firstLine="177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Veli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Bilgilendirme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Toplantısının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Sosyal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Etkinlik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59" w:lineRule="auto"/>
              <w:ind w:left="104" w:firstLine="52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Sınıflara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Deneme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Analizlerinin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59" w:lineRule="auto"/>
              <w:ind w:left="31" w:firstLine="230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Veli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Bilgilendirme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Toplantılarının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59" w:lineRule="auto"/>
              <w:ind w:left="235" w:right="204" w:firstLine="56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Üniversite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Gezisi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Yapılması-İstanbul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59" w:lineRule="auto"/>
              <w:ind w:left="521" w:right="184" w:hanging="305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Soru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Çözüm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Kampı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69" w:right="4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YKS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2024’Ün</w:t>
            </w: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9" w:right="43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Değerlendirilmesi</w:t>
            </w:r>
          </w:p>
        </w:tc>
      </w:tr>
      <w:tr w:rsidR="002B1D33">
        <w:trPr>
          <w:trHeight w:val="965"/>
        </w:trPr>
        <w:tc>
          <w:tcPr>
            <w:tcW w:w="504" w:type="dxa"/>
            <w:shd w:val="clear" w:color="auto" w:fill="CC00CC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9" w:right="37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Anket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Koçluk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Tanıtılması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107" w:right="75" w:firstLine="1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İçin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Verimli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Ders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Sunumunun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30" w:right="-15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Motivasyon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İhtiyacı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Olan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46" w:right="16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Öğrenciler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İçin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Hedef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Belirleme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56" w:right="26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Performanslarının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Analiz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Edilip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Geri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Dönüt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Verilmesi</w:t>
            </w:r>
          </w:p>
        </w:tc>
        <w:tc>
          <w:tcPr>
            <w:tcW w:w="1661" w:type="dxa"/>
            <w:shd w:val="clear" w:color="auto" w:fill="DCE6F1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1" w:right="108" w:hanging="375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Soru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Rehberliği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1" w:right="108" w:hanging="375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Soru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Rehberliği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1" w:right="108" w:hanging="375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Sınav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Soru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Rehberliği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45" w:right="17" w:hanging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.Sınıfların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DYK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Kurslarına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Yönlendirme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</w:tr>
      <w:tr w:rsidR="002B1D33">
        <w:trPr>
          <w:trHeight w:val="965"/>
        </w:trPr>
        <w:tc>
          <w:tcPr>
            <w:tcW w:w="504" w:type="dxa"/>
            <w:shd w:val="clear" w:color="auto" w:fill="CC00CC"/>
          </w:tcPr>
          <w:p w:rsidR="002B1D33" w:rsidRDefault="002B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8" w:right="47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8" w:right="47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8" w:right="47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8" w:right="47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7" w:right="48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7" w:right="48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EBF1DE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7" w:right="48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FCD5B4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7" w:right="48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  <w:tc>
          <w:tcPr>
            <w:tcW w:w="1661" w:type="dxa"/>
            <w:shd w:val="clear" w:color="auto" w:fill="DCE6F1"/>
          </w:tcPr>
          <w:p w:rsidR="002B1D33" w:rsidRDefault="00E8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59" w:lineRule="auto"/>
              <w:ind w:left="77" w:right="48" w:firstLine="2"/>
              <w:jc w:val="center"/>
              <w:rPr>
                <w:rFonts w:ascii="Carlito" w:eastAsia="Carlito" w:hAnsi="Carlito" w:cs="Carlito"/>
                <w:color w:val="000000"/>
                <w:sz w:val="16"/>
                <w:szCs w:val="16"/>
              </w:rPr>
            </w:pP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Çalışmalann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Sisteme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Girişinin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16"/>
                <w:szCs w:val="16"/>
              </w:rPr>
              <w:t>Yapılması</w:t>
            </w:r>
          </w:p>
        </w:tc>
      </w:tr>
    </w:tbl>
    <w:p w:rsidR="002B1D33" w:rsidRDefault="002B1D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rlito" w:eastAsia="Carlito" w:hAnsi="Carlito" w:cs="Carlito"/>
          <w:color w:val="000000"/>
          <w:sz w:val="16"/>
          <w:szCs w:val="16"/>
        </w:rPr>
      </w:pPr>
    </w:p>
    <w:sectPr w:rsidR="002B1D33">
      <w:headerReference w:type="default" r:id="rId7"/>
      <w:pgSz w:w="16840" w:h="11900" w:orient="landscape"/>
      <w:pgMar w:top="460" w:right="740" w:bottom="280" w:left="40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1C" w:rsidRDefault="00E8251C">
      <w:r>
        <w:separator/>
      </w:r>
    </w:p>
  </w:endnote>
  <w:endnote w:type="continuationSeparator" w:id="0">
    <w:p w:rsidR="00E8251C" w:rsidRDefault="00E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auto"/>
    <w:pitch w:val="default"/>
  </w:font>
  <w:font w:name="Carlito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1C" w:rsidRDefault="00E8251C">
      <w:r>
        <w:separator/>
      </w:r>
    </w:p>
  </w:footnote>
  <w:footnote w:type="continuationSeparator" w:id="0">
    <w:p w:rsidR="00E8251C" w:rsidRDefault="00E8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33" w:rsidRDefault="002B1D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33"/>
    <w:rsid w:val="002B1D33"/>
    <w:rsid w:val="00490F3C"/>
    <w:rsid w:val="006C5BDB"/>
    <w:rsid w:val="00E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9D69-84DC-4FED-856A-C432F53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ind w:left="4068"/>
    </w:pPr>
    <w:rPr>
      <w:rFonts w:ascii="Times New Roman" w:eastAsia="Times New Roman" w:hAnsi="Times New Roman" w:cs="Times New Roman"/>
      <w:b/>
      <w:i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YILMAZ</dc:creator>
  <cp:lastModifiedBy>ALPER YILMAZ</cp:lastModifiedBy>
  <cp:revision>2</cp:revision>
  <dcterms:created xsi:type="dcterms:W3CDTF">2024-03-21T02:35:00Z</dcterms:created>
  <dcterms:modified xsi:type="dcterms:W3CDTF">2024-03-21T02:35:00Z</dcterms:modified>
</cp:coreProperties>
</file>